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A0" w:rsidRDefault="00F07949" w:rsidP="00F07949">
      <w:pPr>
        <w:jc w:val="center"/>
      </w:pPr>
      <w:r>
        <w:t>Economics Report B</w:t>
      </w:r>
    </w:p>
    <w:p w:rsidR="00F07949" w:rsidRDefault="00F07949" w:rsidP="00620945">
      <w:pPr>
        <w:jc w:val="both"/>
        <w:rPr>
          <w:rFonts w:ascii="Arial Narrow" w:hAnsi="Arial Narrow"/>
          <w:sz w:val="28"/>
          <w:szCs w:val="28"/>
        </w:rPr>
      </w:pPr>
    </w:p>
    <w:p w:rsidR="00620945" w:rsidRDefault="00070E79" w:rsidP="00620945">
      <w:pPr>
        <w:jc w:val="both"/>
      </w:pPr>
      <w:r w:rsidRPr="00F07949">
        <w:t xml:space="preserve">The </w:t>
      </w:r>
      <w:proofErr w:type="spellStart"/>
      <w:r w:rsidRPr="00F07949">
        <w:t>iPad</w:t>
      </w:r>
      <w:proofErr w:type="spellEnd"/>
      <w:r w:rsidRPr="00F07949">
        <w:t>, which was create</w:t>
      </w:r>
      <w:r w:rsidR="00DE7136">
        <w:t xml:space="preserve">d by Apple Co., was launched in 3rd </w:t>
      </w:r>
      <w:proofErr w:type="spellStart"/>
      <w:proofErr w:type="gramStart"/>
      <w:r w:rsidR="00DE7136">
        <w:t>april</w:t>
      </w:r>
      <w:proofErr w:type="spellEnd"/>
      <w:proofErr w:type="gramEnd"/>
      <w:r w:rsidR="00DE7136">
        <w:t xml:space="preserve"> </w:t>
      </w:r>
      <w:r w:rsidRPr="00F07949">
        <w:t>2010</w:t>
      </w:r>
      <w:r w:rsidR="00620945" w:rsidRPr="00F07949">
        <w:t>. In the boundary of the USA, Apple Co. started accepting pre-orders from consumers on the 12</w:t>
      </w:r>
      <w:r w:rsidR="00620945" w:rsidRPr="00F07949">
        <w:rPr>
          <w:vertAlign w:val="superscript"/>
        </w:rPr>
        <w:t>th</w:t>
      </w:r>
      <w:r w:rsidR="00620945" w:rsidRPr="00F07949">
        <w:t xml:space="preserve"> of March 2010. It was then observed that there were high demands for the new Apple </w:t>
      </w:r>
      <w:proofErr w:type="spellStart"/>
      <w:r w:rsidR="00620945" w:rsidRPr="00F07949">
        <w:t>iPad</w:t>
      </w:r>
      <w:proofErr w:type="spellEnd"/>
      <w:r w:rsidR="00620945" w:rsidRPr="00F07949">
        <w:t xml:space="preserve"> due to the outstanding figures of pre-orders. On the 3</w:t>
      </w:r>
      <w:r w:rsidR="00620945" w:rsidRPr="00F07949">
        <w:rPr>
          <w:vertAlign w:val="superscript"/>
        </w:rPr>
        <w:t>rd</w:t>
      </w:r>
      <w:r w:rsidR="00620945" w:rsidRPr="00F07949">
        <w:t xml:space="preserve"> of May 2010, Apple </w:t>
      </w:r>
      <w:proofErr w:type="spellStart"/>
      <w:r w:rsidR="00620945" w:rsidRPr="00F07949">
        <w:t>iPad</w:t>
      </w:r>
      <w:proofErr w:type="spellEnd"/>
      <w:r w:rsidR="00620945" w:rsidRPr="00F07949">
        <w:t xml:space="preserve"> was launched and one million were sold. The number of </w:t>
      </w:r>
      <w:proofErr w:type="spellStart"/>
      <w:r w:rsidR="00620945" w:rsidRPr="00F07949">
        <w:t>iPads</w:t>
      </w:r>
      <w:proofErr w:type="spellEnd"/>
      <w:r w:rsidR="00620945" w:rsidRPr="00F07949">
        <w:t xml:space="preserve"> sold took merely half the time to sell the Apple iPhones when it was first launched on 29</w:t>
      </w:r>
      <w:r w:rsidR="00620945" w:rsidRPr="00F07949">
        <w:rPr>
          <w:vertAlign w:val="superscript"/>
        </w:rPr>
        <w:t>th</w:t>
      </w:r>
      <w:r w:rsidR="00620945" w:rsidRPr="00F07949">
        <w:t xml:space="preserve"> June 2007. </w:t>
      </w:r>
      <w:r w:rsidR="00F07949">
        <w:t>Taking into account the</w:t>
      </w:r>
      <w:r w:rsidR="00620945" w:rsidRPr="00F07949">
        <w:t xml:space="preserve"> producers and consumers, there were several factors which had affected the marketing and pricing of the </w:t>
      </w:r>
      <w:proofErr w:type="spellStart"/>
      <w:r w:rsidR="00620945" w:rsidRPr="00F07949">
        <w:t>iPad</w:t>
      </w:r>
      <w:proofErr w:type="spellEnd"/>
      <w:r w:rsidR="00620945" w:rsidRPr="00F07949">
        <w:t>.</w:t>
      </w:r>
    </w:p>
    <w:p w:rsidR="00070E79" w:rsidRPr="00F07949" w:rsidRDefault="00070E79"/>
    <w:p w:rsidR="00620945" w:rsidRPr="00F07949" w:rsidRDefault="00620945">
      <w:r w:rsidRPr="00F07949">
        <w:t>The world experience</w:t>
      </w:r>
      <w:r w:rsidR="00F07949">
        <w:t>s</w:t>
      </w:r>
      <w:r w:rsidRPr="00F07949">
        <w:t xml:space="preserve"> an overall economic growth fr</w:t>
      </w:r>
      <w:r w:rsidR="00456570" w:rsidRPr="00F07949">
        <w:t>om 2009-2010 as reflected in the table below:-</w:t>
      </w:r>
    </w:p>
    <w:p w:rsidR="00456570" w:rsidRPr="00F07949" w:rsidRDefault="00456570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1"/>
        <w:gridCol w:w="527"/>
        <w:gridCol w:w="527"/>
        <w:gridCol w:w="527"/>
        <w:gridCol w:w="542"/>
      </w:tblGrid>
      <w:tr w:rsidR="00456570" w:rsidRPr="00F07949" w:rsidTr="004565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070E79">
              <w:rPr>
                <w:rFonts w:eastAsia="Times New Roman" w:cs="Times New Roman"/>
                <w:b/>
                <w:bCs/>
              </w:rPr>
              <w:t>Growth in percent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070E79">
              <w:rPr>
                <w:rFonts w:eastAsia="Times New Roman" w:cs="Times New Roman"/>
                <w:b/>
                <w:bCs/>
              </w:rPr>
              <w:t>2007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070E79">
              <w:rPr>
                <w:rFonts w:eastAsia="Times New Roman" w:cs="Times New Roman"/>
                <w:b/>
                <w:bCs/>
              </w:rPr>
              <w:t>2008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070E79">
              <w:rPr>
                <w:rFonts w:eastAsia="Times New Roman" w:cs="Times New Roman"/>
                <w:b/>
                <w:bCs/>
              </w:rPr>
              <w:t>2009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070E79">
              <w:rPr>
                <w:rFonts w:eastAsia="Times New Roman" w:cs="Times New Roman"/>
                <w:b/>
                <w:bCs/>
              </w:rPr>
              <w:t>2010</w:t>
            </w:r>
          </w:p>
        </w:tc>
      </w:tr>
      <w:tr w:rsidR="00456570" w:rsidRPr="00F07949" w:rsidTr="004565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Global economies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3.0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4.2</w:t>
            </w:r>
          </w:p>
        </w:tc>
      </w:tr>
      <w:tr w:rsidR="00456570" w:rsidRPr="00F07949" w:rsidTr="004565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Advanced economies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0.5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-3.2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2.3</w:t>
            </w:r>
          </w:p>
        </w:tc>
      </w:tr>
      <w:tr w:rsidR="00456570" w:rsidRPr="00F07949" w:rsidTr="004565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Emerging and Developing economies</w:t>
            </w: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6.1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2.4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456570" w:rsidRPr="00070E79" w:rsidRDefault="00456570" w:rsidP="006D162F">
            <w:pPr>
              <w:rPr>
                <w:rFonts w:eastAsia="Times New Roman" w:cs="Times New Roman"/>
              </w:rPr>
            </w:pPr>
            <w:r w:rsidRPr="00070E79">
              <w:rPr>
                <w:rFonts w:eastAsia="Times New Roman" w:cs="Times New Roman"/>
              </w:rPr>
              <w:t>6.3</w:t>
            </w:r>
          </w:p>
        </w:tc>
      </w:tr>
    </w:tbl>
    <w:p w:rsidR="00456570" w:rsidRPr="00F07949" w:rsidRDefault="00456570"/>
    <w:p w:rsidR="00456570" w:rsidRDefault="00456570">
      <w:r w:rsidRPr="00F07949">
        <w:t xml:space="preserve">The information above implies that people all over the world has a </w:t>
      </w:r>
      <w:r w:rsidRPr="0075028A">
        <w:rPr>
          <w:highlight w:val="green"/>
        </w:rPr>
        <w:t>higher purchasing power</w:t>
      </w:r>
      <w:r w:rsidRPr="00F07949">
        <w:t xml:space="preserve"> due to </w:t>
      </w:r>
      <w:r w:rsidRPr="0075028A">
        <w:rPr>
          <w:highlight w:val="green"/>
        </w:rPr>
        <w:t>rise of their personal income</w:t>
      </w:r>
      <w:r w:rsidRPr="00F07949">
        <w:t xml:space="preserve"> and hence, able to purchase more units of </w:t>
      </w:r>
      <w:proofErr w:type="spellStart"/>
      <w:r w:rsidRPr="00F07949">
        <w:t>iPads</w:t>
      </w:r>
      <w:proofErr w:type="spellEnd"/>
      <w:r w:rsidRPr="00F07949">
        <w:t xml:space="preserve"> which results in the high pre-orders on 12</w:t>
      </w:r>
      <w:r w:rsidRPr="00F07949">
        <w:rPr>
          <w:vertAlign w:val="superscript"/>
        </w:rPr>
        <w:t>th</w:t>
      </w:r>
      <w:r w:rsidRPr="00F07949">
        <w:t xml:space="preserve"> March, signifying high demands of the Apple </w:t>
      </w:r>
      <w:proofErr w:type="spellStart"/>
      <w:r w:rsidRPr="00F07949">
        <w:t>iPads</w:t>
      </w:r>
      <w:proofErr w:type="spellEnd"/>
      <w:r w:rsidRPr="00F07949">
        <w:t xml:space="preserve">. Therefore, with </w:t>
      </w:r>
      <w:r w:rsidRPr="0075028A">
        <w:rPr>
          <w:highlight w:val="green"/>
        </w:rPr>
        <w:t>high demands</w:t>
      </w:r>
      <w:r w:rsidRPr="00F07949">
        <w:t xml:space="preserve">, it results in the high prices of the Apple </w:t>
      </w:r>
      <w:proofErr w:type="spellStart"/>
      <w:r w:rsidRPr="00F07949">
        <w:t>iPads</w:t>
      </w:r>
      <w:proofErr w:type="spellEnd"/>
      <w:r w:rsidRPr="00F07949">
        <w:t xml:space="preserve">. </w:t>
      </w:r>
    </w:p>
    <w:p w:rsidR="0075028A" w:rsidRDefault="0075028A">
      <w:pPr>
        <w:pBdr>
          <w:bottom w:val="dotted" w:sz="24" w:space="1" w:color="auto"/>
        </w:pBdr>
      </w:pPr>
    </w:p>
    <w:p w:rsidR="00456570" w:rsidRPr="00F07949" w:rsidRDefault="00456570"/>
    <w:p w:rsidR="00CF1545" w:rsidRDefault="00F07949">
      <w:r w:rsidRPr="00F07949">
        <w:t xml:space="preserve">Based on the marketing research of Apple Co, they are aware of the high demands of the </w:t>
      </w:r>
      <w:proofErr w:type="spellStart"/>
      <w:r w:rsidRPr="00F07949">
        <w:t>iPads</w:t>
      </w:r>
      <w:proofErr w:type="spellEnd"/>
      <w:r w:rsidRPr="00F07949">
        <w:t xml:space="preserve"> and thus they are </w:t>
      </w:r>
      <w:r w:rsidRPr="0075028A">
        <w:rPr>
          <w:highlight w:val="magenta"/>
        </w:rPr>
        <w:t>profit-driven</w:t>
      </w:r>
      <w:r w:rsidRPr="00F07949">
        <w:t xml:space="preserve">: </w:t>
      </w:r>
      <w:r w:rsidR="00456570" w:rsidRPr="00F07949">
        <w:t xml:space="preserve">The cost for manufacture of an Apple </w:t>
      </w:r>
      <w:proofErr w:type="spellStart"/>
      <w:r w:rsidR="00456570" w:rsidRPr="00F07949">
        <w:t>iPad</w:t>
      </w:r>
      <w:proofErr w:type="spellEnd"/>
      <w:r w:rsidR="00456570" w:rsidRPr="00F07949">
        <w:t xml:space="preserve"> 16GB is US$259.60 and it is sold at a high price of US$499, reaping almost a </w:t>
      </w:r>
      <w:r w:rsidRPr="00F07949">
        <w:t xml:space="preserve">50% profit. </w:t>
      </w:r>
      <w:r w:rsidR="00CF1545">
        <w:t xml:space="preserve">Having high figures of pre-orders of the </w:t>
      </w:r>
      <w:proofErr w:type="spellStart"/>
      <w:r w:rsidR="00CF1545">
        <w:t>iPads</w:t>
      </w:r>
      <w:proofErr w:type="spellEnd"/>
      <w:r w:rsidR="00CF1545">
        <w:t xml:space="preserve">, more </w:t>
      </w:r>
      <w:proofErr w:type="spellStart"/>
      <w:r w:rsidR="00CF1545">
        <w:t>iPads</w:t>
      </w:r>
      <w:proofErr w:type="spellEnd"/>
      <w:r w:rsidR="00CF1545">
        <w:t xml:space="preserve"> are produced, indicating a </w:t>
      </w:r>
      <w:r w:rsidR="00CF1545" w:rsidRPr="00CF1545">
        <w:rPr>
          <w:highlight w:val="magenta"/>
        </w:rPr>
        <w:t>high supply</w:t>
      </w:r>
      <w:r w:rsidR="00CF1545">
        <w:t xml:space="preserve">, to meet the </w:t>
      </w:r>
      <w:r w:rsidR="000B3C92">
        <w:t xml:space="preserve">high demand of the consumers. </w:t>
      </w:r>
    </w:p>
    <w:p w:rsidR="00CF1545" w:rsidRDefault="00CF1545"/>
    <w:p w:rsidR="00CF1545" w:rsidRDefault="00CF1545">
      <w:r>
        <w:t>As the technology ad</w:t>
      </w:r>
      <w:r w:rsidR="000B3C92">
        <w:t>vances, there is a continuous r</w:t>
      </w:r>
      <w:r>
        <w:t xml:space="preserve">ise of creation of other products, this create many substitutes of </w:t>
      </w:r>
      <w:proofErr w:type="spellStart"/>
      <w:r>
        <w:t>IPad</w:t>
      </w:r>
      <w:proofErr w:type="spellEnd"/>
      <w:r>
        <w:t>. Th</w:t>
      </w:r>
      <w:r w:rsidR="000B3C92">
        <w:t xml:space="preserve">e market will expand as </w:t>
      </w:r>
      <w:r>
        <w:t xml:space="preserve">consumers are exposed to many different choices, thus the sales of </w:t>
      </w:r>
      <w:proofErr w:type="spellStart"/>
      <w:r>
        <w:t>IPad</w:t>
      </w:r>
      <w:proofErr w:type="spellEnd"/>
      <w:r>
        <w:t xml:space="preserve"> will be affected as consumers may choose other products to it. </w:t>
      </w:r>
      <w:r w:rsidR="000B3C92">
        <w:t xml:space="preserve">When this situation happens, Apple Co may alter the pricing of the </w:t>
      </w:r>
      <w:proofErr w:type="spellStart"/>
      <w:r w:rsidR="000B3C92">
        <w:t>iPad</w:t>
      </w:r>
      <w:proofErr w:type="spellEnd"/>
      <w:r w:rsidR="000B3C92">
        <w:t xml:space="preserve"> to attract consumers and to increase their revenue.  </w:t>
      </w:r>
    </w:p>
    <w:p w:rsidR="00DA4BAC" w:rsidRDefault="00DA4BAC"/>
    <w:p w:rsidR="00DA4BAC" w:rsidRDefault="00D44EC9">
      <w:r>
        <w:t>However</w:t>
      </w:r>
      <w:r w:rsidR="00DA4BAC">
        <w:t xml:space="preserve">, due to the high level of technology apple uses, it </w:t>
      </w:r>
      <w:proofErr w:type="gramStart"/>
      <w:r w:rsidR="00DA4BAC">
        <w:t>outcompetes</w:t>
      </w:r>
      <w:proofErr w:type="gramEnd"/>
      <w:r w:rsidR="00DA4BAC">
        <w:t xml:space="preserve"> other alternative electronic gadgets in the market like the Samsung </w:t>
      </w:r>
      <w:proofErr w:type="spellStart"/>
      <w:r w:rsidR="00DA4BAC">
        <w:t>galazy</w:t>
      </w:r>
      <w:proofErr w:type="spellEnd"/>
      <w:r w:rsidR="00DA4BAC">
        <w:t xml:space="preserve"> tab. Hence, consumers would prefer investing their money on the apple </w:t>
      </w:r>
      <w:proofErr w:type="spellStart"/>
      <w:r w:rsidR="00DA4BAC">
        <w:t>iPad</w:t>
      </w:r>
      <w:proofErr w:type="spellEnd"/>
      <w:r w:rsidR="00DA4BAC">
        <w:t xml:space="preserve"> products rather than other electronic counterparts like the respective smartphones and laptops</w:t>
      </w:r>
      <w:r w:rsidR="00D803C1">
        <w:t>, being relatively smaller and lighter.</w:t>
      </w:r>
    </w:p>
    <w:p w:rsidR="000B3C92" w:rsidRDefault="000B3C92"/>
    <w:p w:rsidR="000B3C92" w:rsidRDefault="00DA4BAC">
      <w:r w:rsidRPr="00DA4BAC">
        <w:t xml:space="preserve">Since the consumers have realized the benefits of having an </w:t>
      </w:r>
      <w:proofErr w:type="spellStart"/>
      <w:r w:rsidRPr="00DA4BAC">
        <w:t>iPad</w:t>
      </w:r>
      <w:proofErr w:type="spellEnd"/>
      <w:r w:rsidRPr="00DA4BAC">
        <w:t>, they wil</w:t>
      </w:r>
      <w:r>
        <w:t>l be a demand on the good. As</w:t>
      </w:r>
      <w:r w:rsidRPr="00DA4BAC">
        <w:t xml:space="preserve"> there is an increase in demand for </w:t>
      </w:r>
      <w:proofErr w:type="spellStart"/>
      <w:r w:rsidRPr="00DA4BAC">
        <w:t>iPad</w:t>
      </w:r>
      <w:proofErr w:type="spellEnd"/>
      <w:r w:rsidRPr="00DA4BAC">
        <w:t xml:space="preserve">, the price the consumers are willing and able to pay will be higher. Therefore since producers are profit-driven, the producers will increase the supply of the </w:t>
      </w:r>
      <w:proofErr w:type="spellStart"/>
      <w:r w:rsidRPr="00DA4BAC">
        <w:t>iPad</w:t>
      </w:r>
      <w:proofErr w:type="spellEnd"/>
      <w:r w:rsidRPr="00DA4BAC">
        <w:t xml:space="preserve"> and the </w:t>
      </w:r>
      <w:r>
        <w:t xml:space="preserve">price of the </w:t>
      </w:r>
      <w:proofErr w:type="spellStart"/>
      <w:r>
        <w:t>iPad</w:t>
      </w:r>
      <w:proofErr w:type="spellEnd"/>
      <w:r>
        <w:t xml:space="preserve"> will increase so as to meet the demand of the </w:t>
      </w:r>
      <w:proofErr w:type="spellStart"/>
      <w:r>
        <w:t>iPad</w:t>
      </w:r>
      <w:proofErr w:type="spellEnd"/>
      <w:r>
        <w:t>.</w:t>
      </w:r>
    </w:p>
    <w:p w:rsidR="00CF1545" w:rsidRDefault="00CF1545"/>
    <w:p w:rsidR="00CF1545" w:rsidRPr="00F07949" w:rsidRDefault="00CF1545">
      <w:bookmarkStart w:id="0" w:name="_GoBack"/>
      <w:bookmarkEnd w:id="0"/>
    </w:p>
    <w:sectPr w:rsidR="00CF1545" w:rsidRPr="00F07949" w:rsidSect="00D61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70E79"/>
    <w:rsid w:val="00070E79"/>
    <w:rsid w:val="000B3C92"/>
    <w:rsid w:val="000C520F"/>
    <w:rsid w:val="000D2708"/>
    <w:rsid w:val="00144561"/>
    <w:rsid w:val="001C179F"/>
    <w:rsid w:val="001C450A"/>
    <w:rsid w:val="002A10A4"/>
    <w:rsid w:val="0043090D"/>
    <w:rsid w:val="00456570"/>
    <w:rsid w:val="00620945"/>
    <w:rsid w:val="0075028A"/>
    <w:rsid w:val="008275DA"/>
    <w:rsid w:val="00C97CAE"/>
    <w:rsid w:val="00CF1545"/>
    <w:rsid w:val="00D44EC9"/>
    <w:rsid w:val="00D61E05"/>
    <w:rsid w:val="00D803C1"/>
    <w:rsid w:val="00DA4BAC"/>
    <w:rsid w:val="00DE7136"/>
    <w:rsid w:val="00F07949"/>
    <w:rsid w:val="00F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Keely Shonette</cp:lastModifiedBy>
  <cp:revision>4</cp:revision>
  <dcterms:created xsi:type="dcterms:W3CDTF">2011-03-16T06:58:00Z</dcterms:created>
  <dcterms:modified xsi:type="dcterms:W3CDTF">2011-03-16T10:23:00Z</dcterms:modified>
</cp:coreProperties>
</file>